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974B" w14:textId="7420D058" w:rsidR="005D405A" w:rsidRPr="005150E6" w:rsidRDefault="005150E6" w:rsidP="005D40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0E6">
        <w:rPr>
          <w:rFonts w:ascii="Times New Roman" w:hAnsi="Times New Roman" w:cs="Times New Roman"/>
          <w:b/>
          <w:noProof/>
          <w:sz w:val="24"/>
          <w:szCs w:val="24"/>
          <w:lang w:val="es-4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9E3E2" wp14:editId="3CB620A1">
                <wp:simplePos x="0" y="0"/>
                <wp:positionH relativeFrom="column">
                  <wp:posOffset>2196465</wp:posOffset>
                </wp:positionH>
                <wp:positionV relativeFrom="paragraph">
                  <wp:posOffset>8255</wp:posOffset>
                </wp:positionV>
                <wp:extent cx="3339465" cy="2622550"/>
                <wp:effectExtent l="0" t="0" r="1333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62969" w14:textId="77777777" w:rsidR="005150E6" w:rsidRPr="005D405A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245F8B2C" w14:textId="77777777" w:rsidR="005150E6" w:rsidRPr="00E6010E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601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  <w:t>La Impunidad Activa en México:</w:t>
                            </w:r>
                          </w:p>
                          <w:p w14:paraId="006ACB4A" w14:textId="77777777" w:rsidR="005150E6" w:rsidRPr="00E6010E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601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s-419"/>
                              </w:rPr>
                              <w:t>Cómo Entender y Enfrentar las Violaciones Masivas a los Derechos Humanos</w:t>
                            </w:r>
                          </w:p>
                          <w:p w14:paraId="1C05811E" w14:textId="77777777" w:rsidR="005150E6" w:rsidRPr="00E6010E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</w:p>
                          <w:p w14:paraId="1A372E53" w14:textId="77777777" w:rsidR="005150E6" w:rsidRPr="00E6010E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E60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419"/>
                              </w:rPr>
                              <w:t>Alejandro Anaya Muñoz, James Cavallaro y Patricia Cruz Marín, coordinadores</w:t>
                            </w:r>
                          </w:p>
                          <w:p w14:paraId="51F8DDA3" w14:textId="77777777" w:rsidR="005150E6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0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ITESO y University Network for Human Rights</w:t>
                            </w:r>
                          </w:p>
                          <w:p w14:paraId="535B903E" w14:textId="77777777" w:rsidR="005150E6" w:rsidRDefault="005150E6" w:rsidP="005150E6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7E94A1" w14:textId="334B101E" w:rsidR="005150E6" w:rsidRPr="005150E6" w:rsidRDefault="005150E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E3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2.95pt;margin-top:.65pt;width:262.95pt;height:2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">
                <v:textbox>
                  <w:txbxContent>
                    <w:p w14:paraId="61B62969" w14:textId="77777777" w:rsidR="005150E6" w:rsidRPr="005D405A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245F8B2C" w14:textId="77777777" w:rsidR="005150E6" w:rsidRPr="00E6010E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419"/>
                        </w:rPr>
                      </w:pPr>
                      <w:r w:rsidRPr="00E601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419"/>
                        </w:rPr>
                        <w:t>La Impunidad Activa en México:</w:t>
                      </w:r>
                    </w:p>
                    <w:p w14:paraId="006ACB4A" w14:textId="77777777" w:rsidR="005150E6" w:rsidRPr="00E6010E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419"/>
                        </w:rPr>
                      </w:pPr>
                      <w:r w:rsidRPr="00E6010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s-419"/>
                        </w:rPr>
                        <w:t>Cómo Entender y Enfrentar las Violaciones Masivas a los Derechos Humanos</w:t>
                      </w:r>
                    </w:p>
                    <w:p w14:paraId="1C05811E" w14:textId="77777777" w:rsidR="005150E6" w:rsidRPr="00E6010E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</w:pPr>
                    </w:p>
                    <w:p w14:paraId="1A372E53" w14:textId="77777777" w:rsidR="005150E6" w:rsidRPr="00E6010E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</w:pPr>
                      <w:r w:rsidRPr="00E60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  <w:t xml:space="preserve">Alejandro Anaya </w:t>
                      </w:r>
                      <w:proofErr w:type="spellStart"/>
                      <w:r w:rsidRPr="00E60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  <w:t>Muñoz,</w:t>
                      </w:r>
                      <w:proofErr w:type="spellEnd"/>
                      <w:r w:rsidRPr="00E60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419"/>
                        </w:rPr>
                        <w:t xml:space="preserve"> James Cavallaro y Patricia Cruz Marín, coordinadores</w:t>
                      </w:r>
                    </w:p>
                    <w:p w14:paraId="51F8DDA3" w14:textId="77777777" w:rsidR="005150E6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60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ITESO y University Network for Human Rights</w:t>
                      </w:r>
                    </w:p>
                    <w:p w14:paraId="535B903E" w14:textId="77777777" w:rsidR="005150E6" w:rsidRDefault="005150E6" w:rsidP="005150E6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47E94A1" w14:textId="334B101E" w:rsidR="005150E6" w:rsidRPr="005150E6" w:rsidRDefault="005150E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50E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E8B6830" wp14:editId="22B2C350">
            <wp:extent cx="2038350" cy="264465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0822" cy="26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396A9" w14:textId="77777777" w:rsidR="005150E6" w:rsidRDefault="005150E6" w:rsidP="0067782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B95E52" w14:textId="77777777" w:rsidR="005150E6" w:rsidRDefault="005150E6" w:rsidP="0067782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699FC07" w14:textId="74278F82" w:rsidR="0067782B" w:rsidRPr="0067782B" w:rsidRDefault="0067782B" w:rsidP="0067782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782B">
        <w:rPr>
          <w:rFonts w:ascii="Times New Roman" w:hAnsi="Times New Roman" w:cs="Times New Roman"/>
          <w:b/>
          <w:i/>
          <w:sz w:val="24"/>
          <w:szCs w:val="24"/>
        </w:rPr>
        <w:t>Resumen ejecutivo</w:t>
      </w:r>
    </w:p>
    <w:p w14:paraId="305DADDD" w14:textId="77777777" w:rsidR="00F25637" w:rsidRPr="00E6010E" w:rsidRDefault="00F25637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3BC72" w14:textId="7E0213BE" w:rsidR="009E305B" w:rsidRPr="00E6010E" w:rsidRDefault="006B7B42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 xml:space="preserve">México enfrenta una severa crisis de derechos humanos: cientos de miles de </w:t>
      </w:r>
      <w:r w:rsidR="0067782B">
        <w:rPr>
          <w:rFonts w:ascii="Times New Roman" w:hAnsi="Times New Roman" w:cs="Times New Roman"/>
          <w:sz w:val="24"/>
          <w:szCs w:val="24"/>
        </w:rPr>
        <w:t>asesinatos</w:t>
      </w:r>
      <w:r w:rsidRPr="00E6010E">
        <w:rPr>
          <w:rFonts w:ascii="Times New Roman" w:hAnsi="Times New Roman" w:cs="Times New Roman"/>
          <w:sz w:val="24"/>
          <w:szCs w:val="24"/>
        </w:rPr>
        <w:t xml:space="preserve">; decenas de miles </w:t>
      </w:r>
      <w:r w:rsidR="0067782B">
        <w:rPr>
          <w:rFonts w:ascii="Times New Roman" w:hAnsi="Times New Roman" w:cs="Times New Roman"/>
          <w:sz w:val="24"/>
          <w:szCs w:val="24"/>
        </w:rPr>
        <w:t xml:space="preserve">de personas </w:t>
      </w:r>
      <w:r w:rsidRPr="00E6010E">
        <w:rPr>
          <w:rFonts w:ascii="Times New Roman" w:hAnsi="Times New Roman" w:cs="Times New Roman"/>
          <w:sz w:val="24"/>
          <w:szCs w:val="24"/>
        </w:rPr>
        <w:t>desaparecidas</w:t>
      </w:r>
      <w:r w:rsidR="0067782B">
        <w:rPr>
          <w:rFonts w:ascii="Times New Roman" w:hAnsi="Times New Roman" w:cs="Times New Roman"/>
          <w:sz w:val="24"/>
          <w:szCs w:val="24"/>
        </w:rPr>
        <w:t xml:space="preserve"> y</w:t>
      </w:r>
      <w:r w:rsidRPr="00E6010E">
        <w:rPr>
          <w:rFonts w:ascii="Times New Roman" w:hAnsi="Times New Roman" w:cs="Times New Roman"/>
          <w:sz w:val="24"/>
          <w:szCs w:val="24"/>
        </w:rPr>
        <w:t xml:space="preserve"> de cuerpos sin identificar; miles de fosas clandestinas</w:t>
      </w:r>
      <w:r w:rsidR="0067782B">
        <w:rPr>
          <w:rFonts w:ascii="Times New Roman" w:hAnsi="Times New Roman" w:cs="Times New Roman"/>
          <w:sz w:val="24"/>
          <w:szCs w:val="24"/>
        </w:rPr>
        <w:t>, y</w:t>
      </w:r>
      <w:r w:rsidRPr="00E6010E">
        <w:rPr>
          <w:rFonts w:ascii="Times New Roman" w:hAnsi="Times New Roman" w:cs="Times New Roman"/>
          <w:sz w:val="24"/>
          <w:szCs w:val="24"/>
        </w:rPr>
        <w:t xml:space="preserve"> la </w:t>
      </w:r>
      <w:r w:rsidR="0067782B">
        <w:rPr>
          <w:rFonts w:ascii="Times New Roman" w:hAnsi="Times New Roman" w:cs="Times New Roman"/>
          <w:sz w:val="24"/>
          <w:szCs w:val="24"/>
        </w:rPr>
        <w:t xml:space="preserve">práctica generalizada de la </w:t>
      </w:r>
      <w:r w:rsidRPr="00E6010E">
        <w:rPr>
          <w:rFonts w:ascii="Times New Roman" w:hAnsi="Times New Roman" w:cs="Times New Roman"/>
          <w:sz w:val="24"/>
          <w:szCs w:val="24"/>
        </w:rPr>
        <w:t>tortura</w:t>
      </w:r>
      <w:r w:rsidR="0067782B">
        <w:rPr>
          <w:rFonts w:ascii="Times New Roman" w:hAnsi="Times New Roman" w:cs="Times New Roman"/>
          <w:sz w:val="24"/>
          <w:szCs w:val="24"/>
        </w:rPr>
        <w:t>, entre muchas otras violaciones graves a los derechos humanos.</w:t>
      </w:r>
    </w:p>
    <w:p w14:paraId="7FC12DFD" w14:textId="6D77091C" w:rsidR="006B7B42" w:rsidRPr="00E6010E" w:rsidRDefault="00AF4240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>S</w:t>
      </w:r>
      <w:r w:rsidR="006B7B42" w:rsidRPr="00E6010E">
        <w:rPr>
          <w:rFonts w:ascii="Times New Roman" w:hAnsi="Times New Roman" w:cs="Times New Roman"/>
          <w:sz w:val="24"/>
          <w:szCs w:val="24"/>
        </w:rPr>
        <w:t xml:space="preserve">e han adoptado </w:t>
      </w:r>
      <w:r w:rsidR="0067782B">
        <w:rPr>
          <w:rFonts w:ascii="Times New Roman" w:hAnsi="Times New Roman" w:cs="Times New Roman"/>
          <w:sz w:val="24"/>
          <w:szCs w:val="24"/>
        </w:rPr>
        <w:t xml:space="preserve">en el país </w:t>
      </w:r>
      <w:r w:rsidR="006B7B42" w:rsidRPr="00E6010E">
        <w:rPr>
          <w:rFonts w:ascii="Times New Roman" w:hAnsi="Times New Roman" w:cs="Times New Roman"/>
          <w:sz w:val="24"/>
          <w:szCs w:val="24"/>
        </w:rPr>
        <w:t xml:space="preserve">algunas medidas </w:t>
      </w:r>
      <w:r w:rsidRPr="00E6010E">
        <w:rPr>
          <w:rFonts w:ascii="Times New Roman" w:hAnsi="Times New Roman" w:cs="Times New Roman"/>
          <w:sz w:val="24"/>
          <w:szCs w:val="24"/>
        </w:rPr>
        <w:t xml:space="preserve">importantes </w:t>
      </w:r>
      <w:r w:rsidR="006B7B42" w:rsidRPr="00E6010E">
        <w:rPr>
          <w:rFonts w:ascii="Times New Roman" w:hAnsi="Times New Roman" w:cs="Times New Roman"/>
          <w:sz w:val="24"/>
          <w:szCs w:val="24"/>
        </w:rPr>
        <w:t>en relación a la tortura y la desaparición de personas</w:t>
      </w:r>
      <w:r w:rsidRPr="00E6010E">
        <w:rPr>
          <w:rFonts w:ascii="Times New Roman" w:hAnsi="Times New Roman" w:cs="Times New Roman"/>
          <w:sz w:val="24"/>
          <w:szCs w:val="24"/>
        </w:rPr>
        <w:t xml:space="preserve">; </w:t>
      </w:r>
      <w:r w:rsidR="006B7B42" w:rsidRPr="00E6010E">
        <w:rPr>
          <w:rFonts w:ascii="Times New Roman" w:hAnsi="Times New Roman" w:cs="Times New Roman"/>
          <w:sz w:val="24"/>
          <w:szCs w:val="24"/>
        </w:rPr>
        <w:t>como, por ejemplo, la adopción de las leyes generales en la materia y el establecimiento de la Comisión Nacional de Búsqueda</w:t>
      </w:r>
      <w:r w:rsidRPr="00E6010E">
        <w:rPr>
          <w:rFonts w:ascii="Times New Roman" w:hAnsi="Times New Roman" w:cs="Times New Roman"/>
          <w:sz w:val="24"/>
          <w:szCs w:val="24"/>
        </w:rPr>
        <w:t>. Pero esto no ha sido suficiente</w:t>
      </w:r>
      <w:r w:rsidR="0067782B">
        <w:rPr>
          <w:rFonts w:ascii="Times New Roman" w:hAnsi="Times New Roman" w:cs="Times New Roman"/>
          <w:sz w:val="24"/>
          <w:szCs w:val="24"/>
        </w:rPr>
        <w:t xml:space="preserve"> y la crisis continúa</w:t>
      </w:r>
      <w:r w:rsidRPr="00E6010E">
        <w:rPr>
          <w:rFonts w:ascii="Times New Roman" w:hAnsi="Times New Roman" w:cs="Times New Roman"/>
          <w:sz w:val="24"/>
          <w:szCs w:val="24"/>
        </w:rPr>
        <w:t>.</w:t>
      </w:r>
    </w:p>
    <w:p w14:paraId="310E352D" w14:textId="0A6EB97B" w:rsidR="00F25637" w:rsidRPr="00E6010E" w:rsidRDefault="00F25637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 xml:space="preserve">La visión de consenso enfatiza el papel crítico de la impunidad en el fomento de la violencia y las violaciones a los derechos humanos en México. La prácticamente absoluta ausencia de determinación de responsabilidad </w:t>
      </w:r>
      <w:r w:rsidR="00E42CAC">
        <w:rPr>
          <w:rFonts w:ascii="Times New Roman" w:hAnsi="Times New Roman" w:cs="Times New Roman"/>
          <w:sz w:val="24"/>
          <w:szCs w:val="24"/>
        </w:rPr>
        <w:t>y</w:t>
      </w:r>
      <w:r w:rsidRPr="00E6010E">
        <w:rPr>
          <w:rFonts w:ascii="Times New Roman" w:hAnsi="Times New Roman" w:cs="Times New Roman"/>
          <w:sz w:val="24"/>
          <w:szCs w:val="24"/>
        </w:rPr>
        <w:t xml:space="preserve"> castigo ante los crímenes y los abusos establece y fortalece un contexto institucional en el cual el delito y las violaciones a los derechos humanos se reproducen sin ningún tipo de contrapeso, incentivando de esta manera su repetición sistemática.</w:t>
      </w:r>
    </w:p>
    <w:p w14:paraId="091AD957" w14:textId="425271F8" w:rsidR="00AF4240" w:rsidRPr="00E6010E" w:rsidRDefault="00AF736D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>Uno de los más apremiantes y complejos desafíos que enfrenta el país y sus autoridades es el revertir esta tendencia; desarticular la impunidad que en la práctica es el factor común que vincula una amplia gama de abusos relacionados con la epidemia de violencia y violaciones a los derechos humanos.</w:t>
      </w:r>
    </w:p>
    <w:p w14:paraId="041CEF47" w14:textId="77927B5D" w:rsidR="00AF736D" w:rsidRPr="00E6010E" w:rsidRDefault="00AF736D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 xml:space="preserve">La impunidad en materia de derechos humanos en México responde, antes que a la falta de capacidades, a una estructura de intereses que se benefician de la manipulación del proceso de la aplicación de la ley. En otras palabras, </w:t>
      </w:r>
      <w:r w:rsidR="00E42CAC">
        <w:rPr>
          <w:rFonts w:ascii="Times New Roman" w:hAnsi="Times New Roman" w:cs="Times New Roman"/>
          <w:sz w:val="24"/>
          <w:szCs w:val="24"/>
        </w:rPr>
        <w:t>el informe argumenta</w:t>
      </w:r>
      <w:r w:rsidRPr="00E6010E">
        <w:rPr>
          <w:rFonts w:ascii="Times New Roman" w:hAnsi="Times New Roman" w:cs="Times New Roman"/>
          <w:sz w:val="24"/>
          <w:szCs w:val="24"/>
        </w:rPr>
        <w:t xml:space="preserve"> que la impunidad en casos de violaciones graves a los derechos humanos es resultado de una serie de acciones realizadas con el fin explícito de socavar las investigaciones. En otras palabras, con el objetivo de que </w:t>
      </w:r>
      <w:r w:rsidRPr="00E6010E">
        <w:rPr>
          <w:rFonts w:ascii="Times New Roman" w:hAnsi="Times New Roman" w:cs="Times New Roman"/>
          <w:sz w:val="24"/>
          <w:szCs w:val="24"/>
        </w:rPr>
        <w:lastRenderedPageBreak/>
        <w:t xml:space="preserve">no haya castigo o sanción para los responsables. </w:t>
      </w:r>
      <w:r w:rsidRPr="00E6010E">
        <w:rPr>
          <w:rFonts w:ascii="Times New Roman" w:hAnsi="Times New Roman" w:cs="Times New Roman"/>
          <w:b/>
          <w:sz w:val="24"/>
          <w:szCs w:val="24"/>
        </w:rPr>
        <w:t>Eso es lo que</w:t>
      </w:r>
      <w:r w:rsidR="00E42CAC">
        <w:rPr>
          <w:rFonts w:ascii="Times New Roman" w:hAnsi="Times New Roman" w:cs="Times New Roman"/>
          <w:b/>
          <w:sz w:val="24"/>
          <w:szCs w:val="24"/>
        </w:rPr>
        <w:t xml:space="preserve"> se entiende</w:t>
      </w:r>
      <w:r w:rsidRPr="00E6010E">
        <w:rPr>
          <w:rFonts w:ascii="Times New Roman" w:hAnsi="Times New Roman" w:cs="Times New Roman"/>
          <w:b/>
          <w:sz w:val="24"/>
          <w:szCs w:val="24"/>
        </w:rPr>
        <w:t xml:space="preserve"> en este reporte como “impunidad activa”.</w:t>
      </w:r>
    </w:p>
    <w:p w14:paraId="0B76E8FA" w14:textId="52275CF8" w:rsidR="00E42CAC" w:rsidRPr="00E6010E" w:rsidRDefault="00AF736D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>El informe se basa en la revisión de once casos concretos de violación a los derechos humanos (</w:t>
      </w:r>
      <w:r w:rsidR="00E42CAC">
        <w:rPr>
          <w:rFonts w:ascii="Times New Roman" w:hAnsi="Times New Roman" w:cs="Times New Roman"/>
          <w:sz w:val="24"/>
          <w:szCs w:val="24"/>
        </w:rPr>
        <w:t xml:space="preserve">que ocurrieron </w:t>
      </w:r>
      <w:r w:rsidRPr="00E6010E">
        <w:rPr>
          <w:rFonts w:ascii="Times New Roman" w:hAnsi="Times New Roman" w:cs="Times New Roman"/>
          <w:sz w:val="24"/>
          <w:szCs w:val="24"/>
        </w:rPr>
        <w:t xml:space="preserve">entre </w:t>
      </w:r>
      <w:r w:rsidR="00E42CAC">
        <w:rPr>
          <w:rFonts w:ascii="Times New Roman" w:hAnsi="Times New Roman" w:cs="Times New Roman"/>
          <w:sz w:val="24"/>
          <w:szCs w:val="24"/>
        </w:rPr>
        <w:t>2008 y 2019</w:t>
      </w:r>
      <w:r w:rsidRPr="00E6010E">
        <w:rPr>
          <w:rFonts w:ascii="Times New Roman" w:hAnsi="Times New Roman" w:cs="Times New Roman"/>
          <w:sz w:val="24"/>
          <w:szCs w:val="24"/>
        </w:rPr>
        <w:t>)</w:t>
      </w:r>
      <w:r w:rsidR="00E42CAC">
        <w:rPr>
          <w:rFonts w:ascii="Times New Roman" w:hAnsi="Times New Roman" w:cs="Times New Roman"/>
          <w:sz w:val="24"/>
          <w:szCs w:val="24"/>
        </w:rPr>
        <w:t>,</w:t>
      </w:r>
      <w:r w:rsidR="00E6010E" w:rsidRPr="00E6010E">
        <w:rPr>
          <w:rFonts w:ascii="Times New Roman" w:hAnsi="Times New Roman" w:cs="Times New Roman"/>
          <w:sz w:val="24"/>
          <w:szCs w:val="24"/>
        </w:rPr>
        <w:t xml:space="preserve"> en los cuales se identifican con claridad los mecanismos de la impunidad activa: </w:t>
      </w:r>
    </w:p>
    <w:p w14:paraId="56621D85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La alteración de la escena de los hechos y la siembra de evidencia falsa;</w:t>
      </w:r>
    </w:p>
    <w:p w14:paraId="0D13635E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ind w:left="1434" w:hanging="357"/>
        <w:contextualSpacing w:val="0"/>
        <w:rPr>
          <w:lang w:val="es-MX"/>
        </w:rPr>
      </w:pPr>
      <w:r w:rsidRPr="00E6010E">
        <w:rPr>
          <w:lang w:val="es-MX"/>
        </w:rPr>
        <w:t>La negativa de recibir denuncias e iniciar investigaciones;</w:t>
      </w:r>
    </w:p>
    <w:p w14:paraId="3BD7BDC7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La intimidación y amenazas a víctimas, familiares y testigos;</w:t>
      </w:r>
    </w:p>
    <w:p w14:paraId="5E9850B6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La presentación de cargos contra las víctimas;</w:t>
      </w:r>
    </w:p>
    <w:p w14:paraId="145D32A8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La reticencia de las autoridades civiles a investigar a elementos de las fuerzas armadas;</w:t>
      </w:r>
    </w:p>
    <w:p w14:paraId="566D1705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La reticencia de las autoridades a investigar casos de narcopolítica;</w:t>
      </w:r>
    </w:p>
    <w:p w14:paraId="3218F94D" w14:textId="77777777" w:rsidR="00E6010E" w:rsidRPr="00E6010E" w:rsidRDefault="00E6010E" w:rsidP="0052642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lang w:val="es-MX"/>
        </w:rPr>
      </w:pPr>
      <w:r w:rsidRPr="00E6010E">
        <w:rPr>
          <w:lang w:val="es-MX"/>
        </w:rPr>
        <w:t>El intento de manchar la reputación de las víctimas.</w:t>
      </w:r>
    </w:p>
    <w:p w14:paraId="1DC688F6" w14:textId="77777777" w:rsidR="00E6010E" w:rsidRPr="00E6010E" w:rsidRDefault="00E6010E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AF75" w14:textId="01FAD4AA" w:rsidR="00E6010E" w:rsidRPr="00E6010E" w:rsidRDefault="00E42CAC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respuesta posible a </w:t>
      </w:r>
      <w:r w:rsidR="00E6010E" w:rsidRPr="00E6010E">
        <w:rPr>
          <w:rFonts w:ascii="Times New Roman" w:hAnsi="Times New Roman" w:cs="Times New Roman"/>
          <w:sz w:val="24"/>
          <w:szCs w:val="24"/>
        </w:rPr>
        <w:t xml:space="preserve">la impunidad activa, </w:t>
      </w:r>
      <w:r>
        <w:rPr>
          <w:rFonts w:ascii="Times New Roman" w:hAnsi="Times New Roman" w:cs="Times New Roman"/>
          <w:sz w:val="24"/>
          <w:szCs w:val="24"/>
        </w:rPr>
        <w:t>que busque</w:t>
      </w:r>
      <w:r w:rsidR="00E6010E" w:rsidRPr="00E6010E">
        <w:rPr>
          <w:rFonts w:ascii="Times New Roman" w:hAnsi="Times New Roman" w:cs="Times New Roman"/>
          <w:sz w:val="24"/>
          <w:szCs w:val="24"/>
        </w:rPr>
        <w:t xml:space="preserve"> contribuir a propiciar investigaciones independientes, imparciales y profesionales es la creación de </w:t>
      </w:r>
      <w:r w:rsidR="00E6010E" w:rsidRPr="00E6010E">
        <w:rPr>
          <w:rFonts w:ascii="Times New Roman" w:hAnsi="Times New Roman" w:cs="Times New Roman"/>
          <w:b/>
          <w:sz w:val="24"/>
          <w:szCs w:val="24"/>
        </w:rPr>
        <w:t>un mecanismo de supervisión externa de la justicia</w:t>
      </w:r>
      <w:r w:rsidR="00E6010E" w:rsidRPr="00E6010E">
        <w:rPr>
          <w:rFonts w:ascii="Times New Roman" w:hAnsi="Times New Roman" w:cs="Times New Roman"/>
          <w:sz w:val="24"/>
          <w:szCs w:val="24"/>
        </w:rPr>
        <w:t>. Este tipo de intervenciones pueden hacer contribuciones importantes en países como México, en los cuales los propios actores estatales cometen las violaciones a los derechos humanos y por lo tanto tienen un interés directo en garantizar su propia impunidad o son aquiescentes en la comisión de estos delitos al ser presa del poder fáctico de actores no estatales extremadamente poderosos.</w:t>
      </w:r>
    </w:p>
    <w:p w14:paraId="00A77044" w14:textId="64B986EE" w:rsidR="00E6010E" w:rsidRPr="00E6010E" w:rsidRDefault="00E6010E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10E">
        <w:rPr>
          <w:rFonts w:ascii="Times New Roman" w:hAnsi="Times New Roman" w:cs="Times New Roman"/>
          <w:sz w:val="24"/>
          <w:szCs w:val="24"/>
        </w:rPr>
        <w:t>A partir de</w:t>
      </w:r>
      <w:r>
        <w:rPr>
          <w:rFonts w:ascii="Times New Roman" w:hAnsi="Times New Roman" w:cs="Times New Roman"/>
          <w:sz w:val="24"/>
          <w:szCs w:val="24"/>
        </w:rPr>
        <w:t xml:space="preserve">l análisis de la </w:t>
      </w:r>
      <w:r w:rsidRPr="00E6010E">
        <w:rPr>
          <w:rFonts w:ascii="Times New Roman" w:hAnsi="Times New Roman" w:cs="Times New Roman"/>
          <w:sz w:val="24"/>
          <w:szCs w:val="24"/>
        </w:rPr>
        <w:t>experiencia del Grupo Interdisciplinario de Expertos Independientes</w:t>
      </w:r>
      <w:r>
        <w:rPr>
          <w:rFonts w:ascii="Times New Roman" w:hAnsi="Times New Roman" w:cs="Times New Roman"/>
          <w:sz w:val="24"/>
          <w:szCs w:val="24"/>
        </w:rPr>
        <w:t xml:space="preserve"> en México</w:t>
      </w:r>
      <w:r w:rsidRPr="00E6010E">
        <w:rPr>
          <w:rFonts w:ascii="Times New Roman" w:hAnsi="Times New Roman" w:cs="Times New Roman"/>
          <w:sz w:val="24"/>
          <w:szCs w:val="24"/>
        </w:rPr>
        <w:t xml:space="preserve">, la Comisión Internacional Contra la Impunidad en Guatemala, la Misión de Apoyo contra la Corrupción y la Impunidad en Honduras y la Comisión Internacional contra la Impunidad en El Salvador, el informe identifica una serie de lecciones relevantes, buenas y malas prácticas </w:t>
      </w:r>
      <w:r w:rsidR="00E42CAC">
        <w:rPr>
          <w:rFonts w:ascii="Times New Roman" w:hAnsi="Times New Roman" w:cs="Times New Roman"/>
          <w:sz w:val="24"/>
          <w:szCs w:val="24"/>
        </w:rPr>
        <w:t>a partir de las cuales se elaboran</w:t>
      </w:r>
      <w:r w:rsidRPr="00E6010E">
        <w:rPr>
          <w:rFonts w:ascii="Times New Roman" w:hAnsi="Times New Roman" w:cs="Times New Roman"/>
          <w:sz w:val="24"/>
          <w:szCs w:val="24"/>
        </w:rPr>
        <w:t xml:space="preserve"> una serie de recomendaciones concretas para la creación de una </w:t>
      </w:r>
      <w:r w:rsidRPr="00E42CAC">
        <w:rPr>
          <w:rFonts w:ascii="Times New Roman" w:hAnsi="Times New Roman" w:cs="Times New Roman"/>
          <w:b/>
          <w:sz w:val="24"/>
          <w:szCs w:val="24"/>
        </w:rPr>
        <w:t>comisión internacional contra la impunidad en México</w:t>
      </w:r>
      <w:r w:rsidRPr="00E6010E">
        <w:rPr>
          <w:rFonts w:ascii="Times New Roman" w:hAnsi="Times New Roman" w:cs="Times New Roman"/>
          <w:sz w:val="24"/>
          <w:szCs w:val="24"/>
        </w:rPr>
        <w:t>:</w:t>
      </w:r>
    </w:p>
    <w:p w14:paraId="6996A69C" w14:textId="427E4D9D" w:rsidR="00E6010E" w:rsidRPr="0067782B" w:rsidRDefault="00E6010E" w:rsidP="0067782B">
      <w:pPr>
        <w:pStyle w:val="ListParagraph"/>
        <w:numPr>
          <w:ilvl w:val="0"/>
          <w:numId w:val="2"/>
        </w:numPr>
        <w:spacing w:after="120" w:line="240" w:lineRule="auto"/>
      </w:pPr>
      <w:r w:rsidRPr="0067782B">
        <w:t>Previo a la creación de una comisión internacional, es necesario implementar una etapa de planeación en la cual participe una organización internacional</w:t>
      </w:r>
      <w:r w:rsidR="0067782B" w:rsidRPr="0067782B">
        <w:t>, como la Organización de las Naciones Unidas (ONU) o la Organización de Estados Americanos (OEA). El proceso de negociación y diseño de la comisión deberá ser transparente y basarse en la</w:t>
      </w:r>
      <w:r w:rsidRPr="0067782B">
        <w:t xml:space="preserve"> comunicación entre todos los actores participantes y por supuesto la sociedad en su conjunto.</w:t>
      </w:r>
    </w:p>
    <w:p w14:paraId="53829B2B" w14:textId="7DC34C3E" w:rsidR="00E6010E" w:rsidRPr="0067782B" w:rsidRDefault="0067782B" w:rsidP="0067782B">
      <w:pPr>
        <w:pStyle w:val="ListParagraph"/>
        <w:numPr>
          <w:ilvl w:val="0"/>
          <w:numId w:val="2"/>
        </w:numPr>
        <w:spacing w:after="120" w:line="240" w:lineRule="auto"/>
      </w:pPr>
      <w:r w:rsidRPr="0067782B">
        <w:t xml:space="preserve">La comisión debe ser creada </w:t>
      </w:r>
      <w:r w:rsidR="00E6010E" w:rsidRPr="0067782B">
        <w:t xml:space="preserve">mediante de un tratado internacional, que por lo tanto requiera de la aprobación del Senado de la República. </w:t>
      </w:r>
    </w:p>
    <w:p w14:paraId="5F23F19A" w14:textId="6073A912" w:rsidR="00E6010E" w:rsidRPr="00526427" w:rsidRDefault="00526427" w:rsidP="0067782B">
      <w:pPr>
        <w:pStyle w:val="ListParagraph"/>
        <w:numPr>
          <w:ilvl w:val="0"/>
          <w:numId w:val="2"/>
        </w:numPr>
        <w:spacing w:after="120" w:line="240" w:lineRule="auto"/>
        <w:rPr>
          <w:lang w:val="es-MX"/>
        </w:rPr>
      </w:pPr>
      <w:r>
        <w:rPr>
          <w:lang w:val="es-MX"/>
        </w:rPr>
        <w:t>Es primordial g</w:t>
      </w:r>
      <w:r w:rsidR="00E6010E" w:rsidRPr="00526427">
        <w:rPr>
          <w:lang w:val="es-MX"/>
        </w:rPr>
        <w:t xml:space="preserve">arantizar la independencia y autonomía de la comisión a partir de </w:t>
      </w:r>
      <w:r w:rsidR="0067782B" w:rsidRPr="00526427">
        <w:rPr>
          <w:lang w:val="es-MX"/>
        </w:rPr>
        <w:t xml:space="preserve">diversos </w:t>
      </w:r>
      <w:r w:rsidR="00E6010E" w:rsidRPr="00526427">
        <w:rPr>
          <w:lang w:val="es-MX"/>
        </w:rPr>
        <w:t>mecanismos</w:t>
      </w:r>
      <w:r w:rsidR="0067782B" w:rsidRPr="00526427">
        <w:rPr>
          <w:lang w:val="es-MX"/>
        </w:rPr>
        <w:t xml:space="preserve">, como el </w:t>
      </w:r>
      <w:r>
        <w:rPr>
          <w:lang w:val="es-MX"/>
        </w:rPr>
        <w:t xml:space="preserve">del </w:t>
      </w:r>
      <w:r w:rsidR="0067782B" w:rsidRPr="00526427">
        <w:rPr>
          <w:lang w:val="es-MX"/>
        </w:rPr>
        <w:t xml:space="preserve">financiamiento </w:t>
      </w:r>
      <w:r w:rsidR="00E6010E" w:rsidRPr="00526427">
        <w:rPr>
          <w:lang w:val="es-MX"/>
        </w:rPr>
        <w:t>a partir de aportaciones internacionales voluntarias</w:t>
      </w:r>
      <w:r>
        <w:rPr>
          <w:lang w:val="es-MX"/>
        </w:rPr>
        <w:t xml:space="preserve"> de actores internacionales</w:t>
      </w:r>
      <w:r w:rsidR="00E6010E" w:rsidRPr="00526427">
        <w:rPr>
          <w:lang w:val="es-MX"/>
        </w:rPr>
        <w:t xml:space="preserve">, </w:t>
      </w:r>
      <w:r w:rsidR="0067782B" w:rsidRPr="00526427">
        <w:rPr>
          <w:lang w:val="es-MX"/>
        </w:rPr>
        <w:t>entre otr</w:t>
      </w:r>
      <w:r>
        <w:rPr>
          <w:lang w:val="es-MX"/>
        </w:rPr>
        <w:t>as cosas</w:t>
      </w:r>
      <w:r w:rsidR="00E6010E" w:rsidRPr="00526427">
        <w:rPr>
          <w:lang w:val="es-MX"/>
        </w:rPr>
        <w:t>;</w:t>
      </w:r>
    </w:p>
    <w:p w14:paraId="00F87DDC" w14:textId="3957306D" w:rsidR="00E6010E" w:rsidRPr="0067782B" w:rsidRDefault="0067782B" w:rsidP="0067782B">
      <w:pPr>
        <w:pStyle w:val="ListParagraph"/>
        <w:numPr>
          <w:ilvl w:val="0"/>
          <w:numId w:val="2"/>
        </w:numPr>
        <w:spacing w:after="120" w:line="240" w:lineRule="auto"/>
        <w:rPr>
          <w:lang w:val="es-MX"/>
        </w:rPr>
      </w:pPr>
      <w:r w:rsidRPr="0067782B">
        <w:rPr>
          <w:lang w:val="es-MX"/>
        </w:rPr>
        <w:t xml:space="preserve">La Comisión deberá </w:t>
      </w:r>
      <w:r>
        <w:rPr>
          <w:lang w:val="es-MX"/>
        </w:rPr>
        <w:t>tener</w:t>
      </w:r>
      <w:r w:rsidR="00E6010E" w:rsidRPr="0067782B">
        <w:rPr>
          <w:lang w:val="es-MX"/>
        </w:rPr>
        <w:t xml:space="preserve"> las siguientes facultades:</w:t>
      </w:r>
    </w:p>
    <w:p w14:paraId="58011D63" w14:textId="38D61141" w:rsidR="00E6010E" w:rsidRPr="0067782B" w:rsidRDefault="00E6010E" w:rsidP="0067782B">
      <w:pPr>
        <w:pStyle w:val="ListParagraph"/>
        <w:numPr>
          <w:ilvl w:val="1"/>
          <w:numId w:val="2"/>
        </w:numPr>
        <w:spacing w:after="120" w:line="240" w:lineRule="auto"/>
      </w:pPr>
      <w:proofErr w:type="spellStart"/>
      <w:r w:rsidRPr="0067782B">
        <w:t>Recomendar</w:t>
      </w:r>
      <w:proofErr w:type="spellEnd"/>
      <w:r w:rsidRPr="0067782B">
        <w:t xml:space="preserve"> la </w:t>
      </w:r>
      <w:proofErr w:type="spellStart"/>
      <w:r w:rsidRPr="0067782B">
        <w:t>adopción</w:t>
      </w:r>
      <w:proofErr w:type="spellEnd"/>
      <w:r w:rsidRPr="0067782B">
        <w:t xml:space="preserve"> de reformas jurídicas e institucionales para el fortalecimiento del sistema de justicia;</w:t>
      </w:r>
    </w:p>
    <w:p w14:paraId="3DD14F36" w14:textId="041CEED0" w:rsidR="00E6010E" w:rsidRPr="0067782B" w:rsidRDefault="00E6010E" w:rsidP="0067782B">
      <w:pPr>
        <w:pStyle w:val="ListParagraph"/>
        <w:numPr>
          <w:ilvl w:val="1"/>
          <w:numId w:val="2"/>
        </w:numPr>
        <w:spacing w:after="120" w:line="240" w:lineRule="auto"/>
      </w:pPr>
      <w:r w:rsidRPr="0067782B">
        <w:lastRenderedPageBreak/>
        <w:t>Iniciar procedimientos penales y coadyuvar o proveer asistencia técnica en procedimientos penales ya iniciados por el Ministerio Público en cualquier etapa de la investigación penal;</w:t>
      </w:r>
    </w:p>
    <w:p w14:paraId="69F71DA3" w14:textId="54B3D8F9" w:rsidR="00E6010E" w:rsidRPr="0067782B" w:rsidRDefault="00E6010E" w:rsidP="0067782B">
      <w:pPr>
        <w:pStyle w:val="ListParagraph"/>
        <w:numPr>
          <w:ilvl w:val="1"/>
          <w:numId w:val="2"/>
        </w:numPr>
        <w:spacing w:after="120" w:line="240" w:lineRule="auto"/>
        <w:rPr>
          <w:lang w:val="es-MX"/>
        </w:rPr>
      </w:pPr>
      <w:r w:rsidRPr="0067782B">
        <w:t>Suscribir acuerdos complementarios con autoridades federales y estatales, como la Corte Suprema, la Fiscalía de la República o las fiscalías de los estados.</w:t>
      </w:r>
    </w:p>
    <w:p w14:paraId="661097D9" w14:textId="1A4C690A" w:rsidR="006B7B42" w:rsidRPr="00E6010E" w:rsidRDefault="0067782B" w:rsidP="00E601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2B">
        <w:rPr>
          <w:rFonts w:ascii="Times New Roman" w:hAnsi="Times New Roman" w:cs="Times New Roman"/>
          <w:sz w:val="24"/>
          <w:szCs w:val="24"/>
        </w:rPr>
        <w:t xml:space="preserve">En suma, </w:t>
      </w:r>
      <w:r>
        <w:rPr>
          <w:rFonts w:ascii="Times New Roman" w:hAnsi="Times New Roman" w:cs="Times New Roman"/>
          <w:sz w:val="24"/>
          <w:szCs w:val="24"/>
        </w:rPr>
        <w:t xml:space="preserve">el informe propone </w:t>
      </w:r>
      <w:r w:rsidRPr="0067782B">
        <w:rPr>
          <w:rFonts w:ascii="Times New Roman" w:hAnsi="Times New Roman" w:cs="Times New Roman"/>
          <w:sz w:val="24"/>
          <w:szCs w:val="24"/>
        </w:rPr>
        <w:t xml:space="preserve">crear una comisión internacional que pueda contribuir a superar al menos parcialmente algunos de los obstáculos a la justicia y al respeto de los derechos </w:t>
      </w:r>
      <w:r w:rsidR="00526427">
        <w:rPr>
          <w:rFonts w:ascii="Times New Roman" w:hAnsi="Times New Roman" w:cs="Times New Roman"/>
          <w:sz w:val="24"/>
          <w:szCs w:val="24"/>
        </w:rPr>
        <w:t>humanos, generados por</w:t>
      </w:r>
      <w:r w:rsidRPr="0067782B">
        <w:rPr>
          <w:rFonts w:ascii="Times New Roman" w:hAnsi="Times New Roman" w:cs="Times New Roman"/>
          <w:sz w:val="24"/>
          <w:szCs w:val="24"/>
        </w:rPr>
        <w:t xml:space="preserve"> la impunidad activa</w:t>
      </w:r>
      <w:r w:rsidR="00526427">
        <w:rPr>
          <w:rFonts w:ascii="Times New Roman" w:hAnsi="Times New Roman" w:cs="Times New Roman"/>
          <w:sz w:val="24"/>
          <w:szCs w:val="24"/>
        </w:rPr>
        <w:t>,</w:t>
      </w:r>
      <w:r w:rsidRPr="0067782B">
        <w:rPr>
          <w:rFonts w:ascii="Times New Roman" w:hAnsi="Times New Roman" w:cs="Times New Roman"/>
          <w:sz w:val="24"/>
          <w:szCs w:val="24"/>
        </w:rPr>
        <w:t xml:space="preserve"> y para debilitar el círculo de impunidad vigente en México.</w:t>
      </w:r>
    </w:p>
    <w:sectPr w:rsidR="006B7B42" w:rsidRPr="00E6010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45F7" w14:textId="77777777" w:rsidR="00526427" w:rsidRDefault="00526427" w:rsidP="00526427">
      <w:pPr>
        <w:spacing w:after="0" w:line="240" w:lineRule="auto"/>
      </w:pPr>
      <w:r>
        <w:separator/>
      </w:r>
    </w:p>
  </w:endnote>
  <w:endnote w:type="continuationSeparator" w:id="0">
    <w:p w14:paraId="73F2E2A4" w14:textId="77777777" w:rsidR="00526427" w:rsidRDefault="00526427" w:rsidP="0052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18161"/>
      <w:docPartObj>
        <w:docPartGallery w:val="Page Numbers (Bottom of Page)"/>
        <w:docPartUnique/>
      </w:docPartObj>
    </w:sdtPr>
    <w:sdtEndPr/>
    <w:sdtContent>
      <w:p w14:paraId="21B6F976" w14:textId="4E2271A6" w:rsidR="00526427" w:rsidRDefault="005264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137D40" w14:textId="77777777" w:rsidR="00526427" w:rsidRDefault="0052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FA39" w14:textId="77777777" w:rsidR="00526427" w:rsidRDefault="00526427" w:rsidP="00526427">
      <w:pPr>
        <w:spacing w:after="0" w:line="240" w:lineRule="auto"/>
      </w:pPr>
      <w:r>
        <w:separator/>
      </w:r>
    </w:p>
  </w:footnote>
  <w:footnote w:type="continuationSeparator" w:id="0">
    <w:p w14:paraId="0F96FEF5" w14:textId="77777777" w:rsidR="00526427" w:rsidRDefault="00526427" w:rsidP="0052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9696F"/>
    <w:multiLevelType w:val="multilevel"/>
    <w:tmpl w:val="D3CE16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7FDB3A73"/>
    <w:multiLevelType w:val="hybridMultilevel"/>
    <w:tmpl w:val="3132CB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2"/>
    <w:rsid w:val="005150E6"/>
    <w:rsid w:val="00526427"/>
    <w:rsid w:val="00540E4D"/>
    <w:rsid w:val="005D405A"/>
    <w:rsid w:val="0065220C"/>
    <w:rsid w:val="0067782B"/>
    <w:rsid w:val="006B7B42"/>
    <w:rsid w:val="00A42C54"/>
    <w:rsid w:val="00AF4240"/>
    <w:rsid w:val="00AF736D"/>
    <w:rsid w:val="00BB78EE"/>
    <w:rsid w:val="00E42CAC"/>
    <w:rsid w:val="00E6010E"/>
    <w:rsid w:val="00F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FAF1"/>
  <w15:chartTrackingRefBased/>
  <w15:docId w15:val="{D60B60BA-ABCD-4C4B-9EEA-7D5408F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0E"/>
    <w:pPr>
      <w:spacing w:after="0" w:line="276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52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27"/>
  </w:style>
  <w:style w:type="paragraph" w:styleId="Footer">
    <w:name w:val="footer"/>
    <w:basedOn w:val="Normal"/>
    <w:link w:val="FooterChar"/>
    <w:uiPriority w:val="99"/>
    <w:unhideWhenUsed/>
    <w:rsid w:val="0052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F5432D1474AA4491E2061B09BB2F0D" ma:contentTypeVersion="14" ma:contentTypeDescription="Crear nuevo documento." ma:contentTypeScope="" ma:versionID="4bb718b5b4e673306f1169d985014af4">
  <xsd:schema xmlns:xsd="http://www.w3.org/2001/XMLSchema" xmlns:xs="http://www.w3.org/2001/XMLSchema" xmlns:p="http://schemas.microsoft.com/office/2006/metadata/properties" xmlns:ns3="eddde2f9-29ac-4b4c-9d0f-1dccc97fb592" xmlns:ns4="577791d4-d4ea-47e7-8bac-f405f1020012" targetNamespace="http://schemas.microsoft.com/office/2006/metadata/properties" ma:root="true" ma:fieldsID="6e1e43d4d53b4294b90ba5bff99100c7" ns3:_="" ns4:_="">
    <xsd:import namespace="eddde2f9-29ac-4b4c-9d0f-1dccc97fb592"/>
    <xsd:import namespace="577791d4-d4ea-47e7-8bac-f405f1020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de2f9-29ac-4b4c-9d0f-1dccc97f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91d4-d4ea-47e7-8bac-f405f1020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9D774-3E99-4D01-B16C-34D8874D722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77791d4-d4ea-47e7-8bac-f405f1020012"/>
    <ds:schemaRef ds:uri="eddde2f9-29ac-4b4c-9d0f-1dccc97fb5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D751F4-9CAB-4C61-87DD-4E5AB43AB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AEDE-2FAD-48D8-83C0-B047DCB3E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de2f9-29ac-4b4c-9d0f-1dccc97fb592"/>
    <ds:schemaRef ds:uri="577791d4-d4ea-47e7-8bac-f405f1020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AC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ANAYA MUÑOZ, ALEJANDRO</dc:creator>
  <cp:keywords/>
  <dc:description/>
  <cp:lastModifiedBy>Jim Cavallaro</cp:lastModifiedBy>
  <cp:revision>2</cp:revision>
  <dcterms:created xsi:type="dcterms:W3CDTF">2021-07-06T23:06:00Z</dcterms:created>
  <dcterms:modified xsi:type="dcterms:W3CDTF">2021-07-06T23:06:00Z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0x010100DBF5432D1474AA4491E2061B09BB2F0D</vt:lpwstr>
  </property>
</Properties>
</file>